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84C2" w14:textId="34A628E6" w:rsidR="0083472F" w:rsidRPr="005B690B" w:rsidRDefault="003F713A" w:rsidP="003F713A">
      <w:pPr>
        <w:spacing w:after="0"/>
        <w:jc w:val="center"/>
        <w:rPr>
          <w:rFonts w:ascii="Arial Narrow" w:hAnsi="Arial Narrow"/>
          <w:b/>
          <w:color w:val="FF0000"/>
          <w:sz w:val="28"/>
          <w:szCs w:val="28"/>
          <w:u w:val="single"/>
        </w:rPr>
      </w:pPr>
      <w:r>
        <w:rPr>
          <w:noProof/>
        </w:rPr>
        <w:drawing>
          <wp:anchor distT="0" distB="0" distL="114300" distR="114300" simplePos="0" relativeHeight="251658240" behindDoc="1" locked="0" layoutInCell="1" allowOverlap="1" wp14:anchorId="22402E02" wp14:editId="358C1E05">
            <wp:simplePos x="0" y="0"/>
            <wp:positionH relativeFrom="column">
              <wp:posOffset>-756883</wp:posOffset>
            </wp:positionH>
            <wp:positionV relativeFrom="paragraph">
              <wp:posOffset>-1669976</wp:posOffset>
            </wp:positionV>
            <wp:extent cx="7073153" cy="100061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153" cy="10006153"/>
                    </a:xfrm>
                    <a:prstGeom prst="rect">
                      <a:avLst/>
                    </a:prstGeom>
                    <a:noFill/>
                    <a:ln>
                      <a:noFill/>
                    </a:ln>
                  </pic:spPr>
                </pic:pic>
              </a:graphicData>
            </a:graphic>
            <wp14:sizeRelH relativeFrom="page">
              <wp14:pctWidth>0</wp14:pctWidth>
            </wp14:sizeRelH>
            <wp14:sizeRelV relativeFrom="page">
              <wp14:pctHeight>0</wp14:pctHeight>
            </wp14:sizeRelV>
          </wp:anchor>
        </w:drawing>
      </w:r>
      <w:r w:rsidR="005B690B" w:rsidRPr="005B690B">
        <w:rPr>
          <w:rFonts w:ascii="Arial Narrow" w:hAnsi="Arial Narrow"/>
          <w:b/>
          <w:color w:val="FF0000"/>
          <w:sz w:val="28"/>
          <w:szCs w:val="28"/>
          <w:u w:val="single"/>
        </w:rPr>
        <w:t>REQUISITOS PARA EL PAGO DE LA INDEMNIZACIÓN POR MUERTE</w:t>
      </w:r>
    </w:p>
    <w:p w14:paraId="7B6D01E1" w14:textId="77777777" w:rsidR="005B690B" w:rsidRPr="005B690B" w:rsidRDefault="005B690B" w:rsidP="008908FC">
      <w:pPr>
        <w:spacing w:after="0"/>
        <w:ind w:firstLine="708"/>
        <w:jc w:val="both"/>
        <w:rPr>
          <w:rFonts w:ascii="Arial Narrow" w:hAnsi="Arial Narrow"/>
          <w:sz w:val="28"/>
          <w:szCs w:val="28"/>
        </w:rPr>
      </w:pPr>
    </w:p>
    <w:p w14:paraId="213514C1" w14:textId="391D5081" w:rsidR="003F713A" w:rsidRPr="003F713A" w:rsidRDefault="003F713A" w:rsidP="003F713A">
      <w:pPr>
        <w:pStyle w:val="Prrafodelista"/>
        <w:numPr>
          <w:ilvl w:val="0"/>
          <w:numId w:val="1"/>
        </w:numPr>
        <w:spacing w:line="240" w:lineRule="auto"/>
        <w:ind w:left="426"/>
        <w:jc w:val="both"/>
        <w:rPr>
          <w:rFonts w:ascii="Arial Narrow" w:hAnsi="Arial Narrow"/>
          <w:b/>
          <w:color w:val="002060"/>
          <w:sz w:val="28"/>
          <w:szCs w:val="28"/>
        </w:rPr>
      </w:pPr>
      <w:r w:rsidRPr="00D23D04">
        <w:rPr>
          <w:rFonts w:ascii="Arial Narrow" w:hAnsi="Arial Narrow"/>
          <w:b/>
          <w:color w:val="002060"/>
          <w:sz w:val="28"/>
          <w:szCs w:val="28"/>
        </w:rPr>
        <w:t>Solicitud simple dirigida a Afocat Junin.</w:t>
      </w:r>
    </w:p>
    <w:p w14:paraId="1FEE1B29" w14:textId="57A6486B" w:rsidR="005B690B" w:rsidRPr="00B16F00" w:rsidRDefault="005B690B" w:rsidP="00B16F00">
      <w:pPr>
        <w:pStyle w:val="Prrafodelista"/>
        <w:numPr>
          <w:ilvl w:val="0"/>
          <w:numId w:val="1"/>
        </w:numPr>
        <w:spacing w:after="0" w:line="360" w:lineRule="auto"/>
        <w:ind w:left="426"/>
        <w:jc w:val="both"/>
        <w:rPr>
          <w:rFonts w:ascii="Arial Narrow" w:hAnsi="Arial Narrow"/>
          <w:b/>
          <w:color w:val="002060"/>
          <w:sz w:val="28"/>
          <w:szCs w:val="28"/>
        </w:rPr>
      </w:pPr>
      <w:r w:rsidRPr="00B16F00">
        <w:rPr>
          <w:rFonts w:ascii="Arial Narrow" w:hAnsi="Arial Narrow"/>
          <w:b/>
          <w:color w:val="002060"/>
          <w:sz w:val="28"/>
          <w:szCs w:val="28"/>
        </w:rPr>
        <w:t>Certificado de defunción de la víctima.</w:t>
      </w:r>
    </w:p>
    <w:p w14:paraId="0C94C8A4" w14:textId="2AA1081A" w:rsidR="005B690B" w:rsidRPr="00B16F00" w:rsidRDefault="003F713A" w:rsidP="00B16F00">
      <w:pPr>
        <w:pStyle w:val="Prrafodelista"/>
        <w:numPr>
          <w:ilvl w:val="0"/>
          <w:numId w:val="1"/>
        </w:numPr>
        <w:spacing w:after="0" w:line="360" w:lineRule="auto"/>
        <w:ind w:left="426"/>
        <w:jc w:val="both"/>
        <w:rPr>
          <w:rFonts w:ascii="Arial Narrow" w:hAnsi="Arial Narrow"/>
          <w:b/>
          <w:color w:val="002060"/>
          <w:sz w:val="28"/>
          <w:szCs w:val="28"/>
        </w:rPr>
      </w:pPr>
      <w:r w:rsidRPr="00D23D04">
        <w:rPr>
          <w:rFonts w:ascii="Arial Narrow" w:hAnsi="Arial Narrow"/>
          <w:b/>
          <w:color w:val="002060"/>
          <w:sz w:val="28"/>
          <w:szCs w:val="28"/>
        </w:rPr>
        <w:t xml:space="preserve">Copia del DNI del solicitante </w:t>
      </w:r>
      <w:r w:rsidR="005C0EBB">
        <w:rPr>
          <w:rFonts w:ascii="Arial Narrow" w:hAnsi="Arial Narrow"/>
          <w:b/>
          <w:color w:val="002060"/>
          <w:sz w:val="28"/>
          <w:szCs w:val="28"/>
        </w:rPr>
        <w:t xml:space="preserve">y de la persona afectada </w:t>
      </w:r>
      <w:r w:rsidRPr="00D23D04">
        <w:rPr>
          <w:rFonts w:ascii="Arial Narrow" w:hAnsi="Arial Narrow"/>
          <w:b/>
          <w:color w:val="002060"/>
          <w:sz w:val="28"/>
          <w:szCs w:val="28"/>
        </w:rPr>
        <w:t>o documento que acredite su identidad emitida por RENIEC</w:t>
      </w:r>
      <w:r w:rsidR="005B690B" w:rsidRPr="00B16F00">
        <w:rPr>
          <w:rFonts w:ascii="Arial Narrow" w:hAnsi="Arial Narrow"/>
          <w:b/>
          <w:color w:val="002060"/>
          <w:sz w:val="28"/>
          <w:szCs w:val="28"/>
        </w:rPr>
        <w:t>.</w:t>
      </w:r>
    </w:p>
    <w:p w14:paraId="42E1FFC3" w14:textId="77777777" w:rsidR="005B690B" w:rsidRPr="00B16F00" w:rsidRDefault="005B690B" w:rsidP="00B16F00">
      <w:pPr>
        <w:pStyle w:val="Prrafodelista"/>
        <w:numPr>
          <w:ilvl w:val="0"/>
          <w:numId w:val="1"/>
        </w:numPr>
        <w:spacing w:after="0" w:line="360" w:lineRule="auto"/>
        <w:ind w:left="426"/>
        <w:jc w:val="both"/>
        <w:rPr>
          <w:rFonts w:ascii="Arial Narrow" w:hAnsi="Arial Narrow"/>
          <w:b/>
          <w:color w:val="002060"/>
          <w:sz w:val="28"/>
          <w:szCs w:val="28"/>
        </w:rPr>
      </w:pPr>
      <w:r w:rsidRPr="00B16F00">
        <w:rPr>
          <w:rFonts w:ascii="Arial Narrow" w:hAnsi="Arial Narrow"/>
          <w:b/>
          <w:color w:val="002060"/>
          <w:sz w:val="28"/>
          <w:szCs w:val="28"/>
        </w:rPr>
        <w:t>Copia certificada de la denuncia policial.</w:t>
      </w:r>
    </w:p>
    <w:p w14:paraId="577ED27C" w14:textId="113182D6" w:rsidR="005B690B" w:rsidRPr="003F713A" w:rsidRDefault="005B690B" w:rsidP="005B690B">
      <w:pPr>
        <w:pStyle w:val="Prrafodelista"/>
        <w:numPr>
          <w:ilvl w:val="0"/>
          <w:numId w:val="1"/>
        </w:numPr>
        <w:spacing w:after="0" w:line="360" w:lineRule="auto"/>
        <w:ind w:left="426"/>
        <w:jc w:val="both"/>
        <w:rPr>
          <w:rFonts w:ascii="Arial Narrow" w:hAnsi="Arial Narrow"/>
          <w:b/>
          <w:color w:val="002060"/>
          <w:sz w:val="28"/>
          <w:szCs w:val="28"/>
        </w:rPr>
      </w:pPr>
      <w:r w:rsidRPr="00B16F00">
        <w:rPr>
          <w:rFonts w:ascii="Arial Narrow" w:hAnsi="Arial Narrow"/>
          <w:b/>
          <w:color w:val="002060"/>
          <w:sz w:val="28"/>
          <w:szCs w:val="28"/>
        </w:rPr>
        <w:t>Certificado de nacimiento, certificado de matrimonio o declaratoria de herederos que acredite la calidad de beneficiario.</w:t>
      </w:r>
    </w:p>
    <w:p w14:paraId="375DB417" w14:textId="77777777" w:rsidR="005B690B" w:rsidRPr="005B690B" w:rsidRDefault="005B690B" w:rsidP="005B690B">
      <w:pPr>
        <w:spacing w:after="0"/>
        <w:jc w:val="both"/>
        <w:rPr>
          <w:rFonts w:ascii="Arial Narrow" w:hAnsi="Arial Narrow"/>
          <w:sz w:val="28"/>
          <w:szCs w:val="28"/>
        </w:rPr>
      </w:pPr>
      <w:r w:rsidRPr="005B690B">
        <w:rPr>
          <w:rFonts w:ascii="Arial Narrow" w:hAnsi="Arial Narrow"/>
          <w:sz w:val="28"/>
          <w:szCs w:val="28"/>
        </w:rPr>
        <w:t>La indemnización por muerte se paga a quien acredite tener el mejor derecho en el siguiente orden:</w:t>
      </w:r>
    </w:p>
    <w:p w14:paraId="20D2B66A" w14:textId="77777777" w:rsidR="005B690B" w:rsidRPr="005B690B" w:rsidRDefault="005B690B" w:rsidP="005B690B">
      <w:pPr>
        <w:spacing w:after="0"/>
        <w:jc w:val="both"/>
        <w:rPr>
          <w:rFonts w:ascii="Arial Narrow" w:hAnsi="Arial Narrow"/>
          <w:sz w:val="28"/>
          <w:szCs w:val="28"/>
        </w:rPr>
      </w:pPr>
    </w:p>
    <w:p w14:paraId="4EACD51A" w14:textId="77777777" w:rsidR="005B690B" w:rsidRPr="005B690B" w:rsidRDefault="005B690B" w:rsidP="005B690B">
      <w:pPr>
        <w:pStyle w:val="Prrafodelista"/>
        <w:numPr>
          <w:ilvl w:val="0"/>
          <w:numId w:val="2"/>
        </w:numPr>
        <w:spacing w:after="0"/>
        <w:ind w:left="426"/>
        <w:jc w:val="both"/>
        <w:rPr>
          <w:rFonts w:ascii="Arial Narrow" w:hAnsi="Arial Narrow"/>
          <w:color w:val="002060"/>
          <w:sz w:val="28"/>
          <w:szCs w:val="28"/>
        </w:rPr>
      </w:pPr>
      <w:r w:rsidRPr="005B690B">
        <w:rPr>
          <w:rFonts w:ascii="Arial Narrow" w:hAnsi="Arial Narrow"/>
          <w:color w:val="002060"/>
          <w:sz w:val="28"/>
          <w:szCs w:val="28"/>
        </w:rPr>
        <w:t>El cónyuge sobreviviente o integrante sobreviviente de la unión de hecho, siendo que en el último caso se deberá presentar constancia de inscripción de la unión de hecho en SUNARP.</w:t>
      </w:r>
    </w:p>
    <w:p w14:paraId="5778230E" w14:textId="77777777" w:rsidR="005B690B" w:rsidRPr="005B690B" w:rsidRDefault="005B690B" w:rsidP="005B690B">
      <w:pPr>
        <w:pStyle w:val="Prrafodelista"/>
        <w:numPr>
          <w:ilvl w:val="0"/>
          <w:numId w:val="2"/>
        </w:numPr>
        <w:spacing w:after="0"/>
        <w:ind w:left="426"/>
        <w:jc w:val="both"/>
        <w:rPr>
          <w:rFonts w:ascii="Arial Narrow" w:hAnsi="Arial Narrow"/>
          <w:color w:val="002060"/>
          <w:sz w:val="28"/>
          <w:szCs w:val="28"/>
        </w:rPr>
      </w:pPr>
      <w:r w:rsidRPr="005B690B">
        <w:rPr>
          <w:rFonts w:ascii="Arial Narrow" w:hAnsi="Arial Narrow"/>
          <w:color w:val="002060"/>
          <w:sz w:val="28"/>
          <w:szCs w:val="28"/>
        </w:rPr>
        <w:t>Los hijos menores de 18 años o mayores de 18 años incapacitados de manera total y permanente para el trabajo.</w:t>
      </w:r>
    </w:p>
    <w:p w14:paraId="36E5BD68" w14:textId="77777777" w:rsidR="005B690B" w:rsidRPr="005B690B" w:rsidRDefault="005B690B" w:rsidP="005B690B">
      <w:pPr>
        <w:pStyle w:val="Prrafodelista"/>
        <w:numPr>
          <w:ilvl w:val="0"/>
          <w:numId w:val="2"/>
        </w:numPr>
        <w:spacing w:after="0"/>
        <w:ind w:left="426"/>
        <w:jc w:val="both"/>
        <w:rPr>
          <w:rFonts w:ascii="Arial Narrow" w:hAnsi="Arial Narrow"/>
          <w:color w:val="002060"/>
          <w:sz w:val="28"/>
          <w:szCs w:val="28"/>
        </w:rPr>
      </w:pPr>
      <w:r w:rsidRPr="005B690B">
        <w:rPr>
          <w:rFonts w:ascii="Arial Narrow" w:hAnsi="Arial Narrow"/>
          <w:color w:val="002060"/>
          <w:sz w:val="28"/>
          <w:szCs w:val="28"/>
        </w:rPr>
        <w:t>Los hijos mayores de 18 años.</w:t>
      </w:r>
    </w:p>
    <w:p w14:paraId="26A01926" w14:textId="77777777" w:rsidR="005B690B" w:rsidRPr="005B690B" w:rsidRDefault="005B690B" w:rsidP="005B690B">
      <w:pPr>
        <w:pStyle w:val="Prrafodelista"/>
        <w:numPr>
          <w:ilvl w:val="0"/>
          <w:numId w:val="2"/>
        </w:numPr>
        <w:spacing w:after="0"/>
        <w:ind w:left="426"/>
        <w:jc w:val="both"/>
        <w:rPr>
          <w:rFonts w:ascii="Arial Narrow" w:hAnsi="Arial Narrow"/>
          <w:color w:val="002060"/>
          <w:sz w:val="28"/>
          <w:szCs w:val="28"/>
        </w:rPr>
      </w:pPr>
      <w:r w:rsidRPr="005B690B">
        <w:rPr>
          <w:rFonts w:ascii="Arial Narrow" w:hAnsi="Arial Narrow"/>
          <w:color w:val="002060"/>
          <w:sz w:val="28"/>
          <w:szCs w:val="28"/>
        </w:rPr>
        <w:t>Los padres.</w:t>
      </w:r>
    </w:p>
    <w:p w14:paraId="66F17C87" w14:textId="77777777" w:rsidR="005B690B" w:rsidRDefault="005B690B" w:rsidP="005B690B">
      <w:pPr>
        <w:pStyle w:val="Prrafodelista"/>
        <w:numPr>
          <w:ilvl w:val="0"/>
          <w:numId w:val="2"/>
        </w:numPr>
        <w:spacing w:after="0"/>
        <w:ind w:left="426"/>
        <w:jc w:val="both"/>
        <w:rPr>
          <w:rFonts w:ascii="Arial Narrow" w:hAnsi="Arial Narrow"/>
          <w:color w:val="002060"/>
          <w:sz w:val="28"/>
          <w:szCs w:val="28"/>
        </w:rPr>
      </w:pPr>
      <w:r w:rsidRPr="005B690B">
        <w:rPr>
          <w:rFonts w:ascii="Arial Narrow" w:hAnsi="Arial Narrow"/>
          <w:color w:val="002060"/>
          <w:sz w:val="28"/>
          <w:szCs w:val="28"/>
        </w:rPr>
        <w:t>Los hermanos menores de 18 años, o mayores de 18 años incapacitados de manera total y permanente para el trabajo.</w:t>
      </w:r>
    </w:p>
    <w:p w14:paraId="594329F2" w14:textId="77777777" w:rsidR="005B690B" w:rsidRPr="006C0B27" w:rsidRDefault="005B690B" w:rsidP="006C0B27">
      <w:pPr>
        <w:pStyle w:val="Prrafodelista"/>
        <w:numPr>
          <w:ilvl w:val="0"/>
          <w:numId w:val="2"/>
        </w:numPr>
        <w:spacing w:after="0"/>
        <w:ind w:left="426"/>
        <w:jc w:val="both"/>
        <w:rPr>
          <w:rFonts w:ascii="Arial Narrow" w:hAnsi="Arial Narrow"/>
          <w:color w:val="002060"/>
          <w:sz w:val="28"/>
          <w:szCs w:val="28"/>
        </w:rPr>
      </w:pPr>
      <w:r w:rsidRPr="006C0B27">
        <w:rPr>
          <w:rFonts w:ascii="Arial Narrow" w:hAnsi="Arial Narrow"/>
          <w:color w:val="002060"/>
          <w:sz w:val="28"/>
          <w:szCs w:val="28"/>
        </w:rPr>
        <w:t>De no presentarse beneficiarios, al Fondo de Compensación de Seguros, una vez transcurrido el plazo de prescripción liberatoria de 2 años.</w:t>
      </w:r>
    </w:p>
    <w:p w14:paraId="00AD2021" w14:textId="77777777" w:rsidR="006C0B27" w:rsidRDefault="006C0B27" w:rsidP="005B690B">
      <w:pPr>
        <w:spacing w:after="0"/>
        <w:jc w:val="both"/>
        <w:rPr>
          <w:rFonts w:ascii="Arial Narrow" w:hAnsi="Arial Narrow"/>
          <w:color w:val="002060"/>
          <w:sz w:val="28"/>
          <w:szCs w:val="28"/>
        </w:rPr>
      </w:pPr>
    </w:p>
    <w:p w14:paraId="4785588D" w14:textId="05EDD72E" w:rsidR="006C0B27" w:rsidRDefault="005B690B" w:rsidP="003F713A">
      <w:pPr>
        <w:spacing w:after="0"/>
        <w:jc w:val="both"/>
        <w:rPr>
          <w:rFonts w:ascii="Arial Narrow" w:hAnsi="Arial Narrow"/>
          <w:color w:val="002060"/>
          <w:sz w:val="28"/>
          <w:szCs w:val="28"/>
        </w:rPr>
      </w:pPr>
      <w:r w:rsidRPr="005B690B">
        <w:rPr>
          <w:rFonts w:ascii="Arial Narrow" w:hAnsi="Arial Narrow"/>
          <w:color w:val="002060"/>
          <w:sz w:val="28"/>
          <w:szCs w:val="28"/>
        </w:rPr>
        <w:t>Para acreditar que cuentas con mayor prioridad bastará que presentes una declaración jurada con firma legalizada ante Notario Público o, en el caso del SOAT, suscrita ante funcionarios acreditados de la compañía aseguradora.</w:t>
      </w:r>
    </w:p>
    <w:p w14:paraId="42523A06" w14:textId="56E82EC5" w:rsidR="005B690B" w:rsidRPr="003F713A" w:rsidRDefault="003F713A" w:rsidP="003F713A">
      <w:pPr>
        <w:spacing w:after="0"/>
        <w:jc w:val="both"/>
        <w:rPr>
          <w:rFonts w:ascii="Arial Narrow" w:hAnsi="Arial Narrow"/>
          <w:color w:val="002060"/>
          <w:sz w:val="28"/>
          <w:szCs w:val="28"/>
        </w:rPr>
      </w:pPr>
      <w:r w:rsidRPr="003F713A">
        <w:rPr>
          <w:rFonts w:ascii="Arial Narrow" w:hAnsi="Arial Narrow"/>
          <w:color w:val="002060"/>
          <w:sz w:val="28"/>
          <w:szCs w:val="28"/>
        </w:rPr>
        <w:t xml:space="preserve">El pago indemnización por muerte se efectuará dentro de los diez (10) días siguientes a la presentación de la solicitud de no haber observaciones. Si se han formulado observaciones, dicho plazo se contará desde que éstas han sido resueltas. </w:t>
      </w:r>
    </w:p>
    <w:sectPr w:rsidR="005B690B" w:rsidRPr="003F713A" w:rsidSect="005B690B">
      <w:pgSz w:w="12240" w:h="15840"/>
      <w:pgMar w:top="269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56736"/>
    <w:multiLevelType w:val="hybridMultilevel"/>
    <w:tmpl w:val="1C7413DA"/>
    <w:lvl w:ilvl="0" w:tplc="12FA5E2C">
      <w:start w:val="1"/>
      <w:numFmt w:val="bullet"/>
      <w:lvlText w:val=""/>
      <w:lvlJc w:val="left"/>
      <w:pPr>
        <w:ind w:left="720" w:hanging="360"/>
      </w:pPr>
      <w:rPr>
        <w:rFonts w:ascii="Wingdings" w:hAnsi="Wingdings" w:hint="default"/>
        <w:color w:val="FF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5AFC4C25"/>
    <w:multiLevelType w:val="hybridMultilevel"/>
    <w:tmpl w:val="182E055A"/>
    <w:lvl w:ilvl="0" w:tplc="87E609BC">
      <w:start w:val="1"/>
      <w:numFmt w:val="bullet"/>
      <w:lvlText w:val=""/>
      <w:lvlJc w:val="left"/>
      <w:pPr>
        <w:ind w:left="720" w:hanging="360"/>
      </w:pPr>
      <w:rPr>
        <w:rFonts w:ascii="Wingdings" w:hAnsi="Wingdings" w:hint="default"/>
        <w:color w:val="FF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552816728">
    <w:abstractNumId w:val="1"/>
  </w:num>
  <w:num w:numId="2" w16cid:durableId="94794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90B"/>
    <w:rsid w:val="001D25C9"/>
    <w:rsid w:val="001D4116"/>
    <w:rsid w:val="00323FDB"/>
    <w:rsid w:val="003F713A"/>
    <w:rsid w:val="005968DD"/>
    <w:rsid w:val="005B690B"/>
    <w:rsid w:val="005C0EBB"/>
    <w:rsid w:val="006C0B27"/>
    <w:rsid w:val="00755FD8"/>
    <w:rsid w:val="008102F3"/>
    <w:rsid w:val="0083472F"/>
    <w:rsid w:val="008908FC"/>
    <w:rsid w:val="008C545D"/>
    <w:rsid w:val="00B16F00"/>
    <w:rsid w:val="00B86A8A"/>
    <w:rsid w:val="00F7247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EB01"/>
  <w15:chartTrackingRefBased/>
  <w15:docId w15:val="{2F7A9300-388D-4632-8A6C-A5B46AB0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lista3-nfasis6">
    <w:name w:val="List Table 3 Accent 6"/>
    <w:basedOn w:val="Tablanormal"/>
    <w:uiPriority w:val="48"/>
    <w:rsid w:val="00F7247F"/>
    <w:pPr>
      <w:spacing w:after="0" w:line="240" w:lineRule="auto"/>
    </w:pPr>
    <w:tblPr>
      <w:tblStyleRowBandSize w:val="1"/>
      <w:tblStyleColBandSize w:val="1"/>
      <w:tbl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insideH w:val="single" w:sz="18" w:space="0" w:color="385623" w:themeColor="accent6" w:themeShade="80"/>
        <w:insideV w:val="single" w:sz="18" w:space="0" w:color="385623" w:themeColor="accent6" w:themeShade="80"/>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Prrafodelista">
    <w:name w:val="List Paragraph"/>
    <w:basedOn w:val="Normal"/>
    <w:uiPriority w:val="34"/>
    <w:qFormat/>
    <w:rsid w:val="005B6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39655">
      <w:bodyDiv w:val="1"/>
      <w:marLeft w:val="0"/>
      <w:marRight w:val="0"/>
      <w:marTop w:val="0"/>
      <w:marBottom w:val="0"/>
      <w:divBdr>
        <w:top w:val="none" w:sz="0" w:space="0" w:color="auto"/>
        <w:left w:val="none" w:sz="0" w:space="0" w:color="auto"/>
        <w:bottom w:val="none" w:sz="0" w:space="0" w:color="auto"/>
        <w:right w:val="none" w:sz="0" w:space="0" w:color="auto"/>
      </w:divBdr>
    </w:div>
    <w:div w:id="939341102">
      <w:bodyDiv w:val="1"/>
      <w:marLeft w:val="0"/>
      <w:marRight w:val="0"/>
      <w:marTop w:val="0"/>
      <w:marBottom w:val="0"/>
      <w:divBdr>
        <w:top w:val="none" w:sz="0" w:space="0" w:color="auto"/>
        <w:left w:val="none" w:sz="0" w:space="0" w:color="auto"/>
        <w:bottom w:val="none" w:sz="0" w:space="0" w:color="auto"/>
        <w:right w:val="none" w:sz="0" w:space="0" w:color="auto"/>
      </w:divBdr>
    </w:div>
    <w:div w:id="1632590508">
      <w:bodyDiv w:val="1"/>
      <w:marLeft w:val="0"/>
      <w:marRight w:val="0"/>
      <w:marTop w:val="0"/>
      <w:marBottom w:val="0"/>
      <w:divBdr>
        <w:top w:val="none" w:sz="0" w:space="0" w:color="auto"/>
        <w:left w:val="none" w:sz="0" w:space="0" w:color="auto"/>
        <w:bottom w:val="none" w:sz="0" w:space="0" w:color="auto"/>
        <w:right w:val="none" w:sz="0" w:space="0" w:color="auto"/>
      </w:divBdr>
    </w:div>
    <w:div w:id="178398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241</Words>
  <Characters>1330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Afocat</dc:creator>
  <cp:keywords/>
  <dc:description/>
  <cp:lastModifiedBy>AFOCAT JUNIN</cp:lastModifiedBy>
  <cp:revision>12</cp:revision>
  <cp:lastPrinted>2018-06-13T18:43:00Z</cp:lastPrinted>
  <dcterms:created xsi:type="dcterms:W3CDTF">2018-06-13T18:34:00Z</dcterms:created>
  <dcterms:modified xsi:type="dcterms:W3CDTF">2023-09-12T21:29:00Z</dcterms:modified>
</cp:coreProperties>
</file>